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25 58 vom 6. Mai 2025</w:t>
      </w:r>
    </w:p>
    <w:p>
      <w:r>
        <w:t>BL Gerichte, 2025-05-06, DE</w:t>
      </w:r>
    </w:p>
    <w:p>
      <w:r>
        <w:rPr>
          <w:b/>
        </w:rPr>
        <w:t xml:space="preserve">Quelle: </w:t>
      </w:r>
      <w:r>
        <w:t>https://mcp.opencaselaw.ch/entscheid/bl_gerichte_470 25 58</w:t>
      </w:r>
    </w:p>
    <w:p>
      <w:r>
        <w:t>FR: BL_GERICHTE 470 25 58 du 6 mai 2025</w:t>
      </w:r>
    </w:p>
    <w:p>
      <w:r>
        <w:t>IT: BL_GERICHTE 470 25 58 del 6 maggio 2025</w:t>
      </w:r>
    </w:p>
    <w:p>
      <w:pPr>
        <w:pStyle w:val="Heading2"/>
      </w:pPr>
      <w:r>
        <w:t>Regeste</w:t>
      </w:r>
    </w:p>
    <w:p>
      <w:r>
        <w:t>Nichtanhandnahme des Verfahrens</w:t>
      </w:r>
    </w:p>
    <w:p>
      <w:pPr>
        <w:pStyle w:val="Heading2"/>
      </w:pPr>
      <w:r>
        <w:t>Erwägungen</w:t>
      </w:r>
    </w:p>
    <w:p>
      <w:r>
        <w:rPr>
          <w:b/>
        </w:rPr>
        <w:t>E. 4</w:t>
      </w:r>
    </w:p>
    <w:p>
      <w:r>
        <w:t>a) Gemäss Art. 428 Abs. 1 StPO tragen die Parteien die Kosten des Rechtsmittelverfahrens nach Massgabe ihres Obsiegens oder Unterliegens, wobei als unterliegend auch jene Partei gilt, auf deren Rechtsmittel nicht eingetreten wird oder die das Rechtsmittel zurückzieht. In Anbetracht des vorliegenden Verfahrensausganges gehen somit die ordentlichen Kosten des Beschwerdeverfahrens in der Höhe von CHF 1'050.--, bestehend aus einer Gerichtsgebühr von CHF 1'000.-- sowie Auslagen von CHF 50.--, grundsätzlich zu Lasten des Beschwerdeführers. Dieser hat nun allerdings die Bewilligung der unentgeltlichen Rechtspflege beantragt. b) Gestützt auf Art. 136 Abs. 1 StPO gewährt die Verfahrensleitung auf Gesuch ganz oder teilweise die unentgeltliche Rechtspflege: der Privatklägerschaft für die Durchsetzung ihrer Zivilansprüche, wenn sie nicht über die erforderlichen Mittel verfügt und die Zivilklage nicht aussichtslos erscheint (lit. a); und dem Opfer für die Durchsetzung seiner Strafklage, wenn es nicht über die erforderlichen Mittel verfügt und die Strafklage nicht aussichtslos erscheint (lit. b). Nach Art. 136 Abs. 2 StPO umfasst die unentgeltliche Rechtspflege: die Befreiung von Vorschuss- und Sicherheitsleistungen (lit. a); die Befreiung von den Verfahrenskosten (lit. b); sowie die Bestellung eines Rechtsbeistands, wenn dies zur Wahrung der Rechte der Privatklägerschaft oder des Opfers notwendig ist (lit. c). Im Rechtsmittelverfahren ist die unentgeltliche Rechtspflege neu zu beantragen (Art. 136 Abs. 3 StPO). Erste Voraussetzung für den Anspruch auf unentgeltliche Rechtspflege ist die Bedürftigkeit der Privatklägerschaft bzw. des Opfers. Gemäss der Rechtsprechung des Bundesgerichts ist eine Person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(d.h. finanzielle Verpflichtungen, Einkommens- und Vermögensverhältnisse) des Gesuchstellers im Zeitpunkt der Einreichung des Gesuchs (BGE 128 I 225 E. 2.5.1; 127 I 202 E. 3b; Goran Mazzucchelli / Mario Postizzi , in: Basler Kommentar, Schweizerische Strafprozessordnung, 3. Auflage, Basel 2023, N 12 zu Art. 136 StPO). Verlangt wird ferner, dass die Zivilklage der Privatklägerschaft bzw. die Strafklage des Opfers nicht aussichtslos erscheint. Als aussichtslos sind nach der Praxis des Bundesgerichts Prozessbegehren anzusehen, bei denen die Gewinnaussichten beträchtlich geringer sind als die Verlustgefahren und die deshalb kaum als ernsthaft bezeichnet werden können (BGE 140 V 521 E. 9.1; 138 III 217 E. 2.2.4; Mazzucchelli / Postizzi , a.a.O., N 14 f. zu Art. 136 StPO). c) Im vorliegenden Fall ist zu erkennen, dass gestützt auf die vorstehenden Erwägungen die Prozessbegehren des Beschwerdeführers im Sinne von Lehre und Rechtsprechung als von vornherein aussichtslos zu bezeichnen sind. Insofern kann offengelassen werden, ob in Anbetracht der vom Beschwerdeführer ausgewiesenen finanziellen Verhältnisse eine Bedürftigkeit anzunehmen gewesen wäre. Infolgedessen ist das Gesuch um Bewilligung der unentgeltlichen Rechtspflege vom 28. April 2025 abzuweisen, womit der Beschwerdeführer die Kosten des vorliegenden Beschwerdeverfahrens in der Höhe von CHF 1'050.-- (beinhaltend eine Gebühr von CHF 1'000.-- [§ 13 Abs. 1 GebT] sowie pauschale Auslagen von CHF 50.-- [§ 3 Abs. 6 GebT])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